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18</w:t>
      </w:r>
      <w:r>
        <w:rPr>
          <w:rFonts w:hint="eastAsia" w:ascii="ＭＳ 明朝" w:hAnsi="ＭＳ 明朝"/>
        </w:rPr>
        <w:t>号様式（第</w:t>
      </w:r>
      <w:r>
        <w:rPr>
          <w:rFonts w:hint="eastAsia" w:ascii="ＭＳ 明朝" w:hAnsi="ＭＳ 明朝"/>
        </w:rPr>
        <w:t>20</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景観重要建造物（樹木）現状変更不許可通知書</w:t>
      </w:r>
    </w:p>
    <w:p>
      <w:pPr>
        <w:pStyle w:val="0"/>
        <w:autoSpaceDE w:val="0"/>
        <w:autoSpaceDN w:val="0"/>
        <w:rPr>
          <w:rFonts w:hint="default" w:ascii="ＭＳ 明朝" w:hAnsi="ＭＳ 明朝"/>
        </w:rPr>
      </w:pPr>
    </w:p>
    <w:p>
      <w:pPr>
        <w:pStyle w:val="0"/>
        <w:autoSpaceDE w:val="0"/>
        <w:autoSpaceDN w:val="0"/>
        <w:jc w:val="right"/>
        <w:rPr>
          <w:rFonts w:hint="default" w:ascii="ＭＳ 明朝" w:hAnsi="ＭＳ 明朝"/>
          <w:sz w:val="22"/>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印</w:t>
      </w:r>
    </w:p>
    <w:p>
      <w:pPr>
        <w:pStyle w:val="0"/>
        <w:autoSpaceDE w:val="0"/>
        <w:autoSpaceDN w:val="0"/>
        <w:jc w:val="right"/>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年　　月　　日付けで申請のあった景観重要建造物（樹木）の現状変更については、次のとおり不許可とします。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5"/>
        <w:gridCol w:w="6720"/>
      </w:tblGrid>
      <w:tr>
        <w:trPr>
          <w:trHeight w:val="567" w:hRule="atLeast"/>
        </w:trPr>
        <w:tc>
          <w:tcPr>
            <w:tcW w:w="241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区分</w:t>
            </w:r>
          </w:p>
        </w:tc>
        <w:tc>
          <w:tcPr>
            <w:tcW w:w="6720"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□景観重要建造物　　　　　　　□景観重要樹木</w:t>
            </w:r>
          </w:p>
        </w:tc>
      </w:tr>
      <w:tr>
        <w:trPr>
          <w:trHeight w:val="567" w:hRule="atLeast"/>
        </w:trPr>
        <w:tc>
          <w:tcPr>
            <w:tcW w:w="241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指定番号</w:t>
            </w:r>
          </w:p>
        </w:tc>
        <w:tc>
          <w:tcPr>
            <w:tcW w:w="6720" w:type="dxa"/>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第　　　　　号</w:t>
            </w:r>
          </w:p>
        </w:tc>
      </w:tr>
      <w:tr>
        <w:trPr>
          <w:trHeight w:val="567" w:hRule="atLeast"/>
        </w:trPr>
        <w:tc>
          <w:tcPr>
            <w:tcW w:w="241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指定年月日</w:t>
            </w:r>
          </w:p>
        </w:tc>
        <w:tc>
          <w:tcPr>
            <w:tcW w:w="6720" w:type="dxa"/>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年　　月　　日</w:t>
            </w:r>
          </w:p>
        </w:tc>
      </w:tr>
      <w:tr>
        <w:trPr>
          <w:trHeight w:val="850" w:hRule="atLeast"/>
        </w:trPr>
        <w:tc>
          <w:tcPr>
            <w:tcW w:w="241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景観重要建造物の名称</w:t>
            </w:r>
          </w:p>
          <w:p>
            <w:pPr>
              <w:pStyle w:val="0"/>
              <w:autoSpaceDE w:val="0"/>
              <w:autoSpaceDN w:val="0"/>
              <w:jc w:val="center"/>
              <w:rPr>
                <w:rFonts w:hint="default" w:ascii="ＭＳ 明朝" w:hAnsi="ＭＳ 明朝"/>
              </w:rPr>
            </w:pPr>
            <w:r>
              <w:rPr>
                <w:rFonts w:hint="eastAsia" w:ascii="ＭＳ 明朝" w:hAnsi="ＭＳ 明朝"/>
              </w:rPr>
              <w:t>（樹木の樹種）</w:t>
            </w:r>
          </w:p>
        </w:tc>
        <w:tc>
          <w:tcPr>
            <w:tcW w:w="6720" w:type="dxa"/>
            <w:shd w:val="clear" w:color="auto" w:fill="auto"/>
            <w:vAlign w:val="center"/>
          </w:tcPr>
          <w:p>
            <w:pPr>
              <w:pStyle w:val="0"/>
              <w:autoSpaceDE w:val="0"/>
              <w:autoSpaceDN w:val="0"/>
              <w:rPr>
                <w:rFonts w:hint="default" w:ascii="ＭＳ 明朝" w:hAnsi="ＭＳ 明朝"/>
              </w:rPr>
            </w:pPr>
          </w:p>
        </w:tc>
      </w:tr>
      <w:tr>
        <w:trPr>
          <w:trHeight w:val="567" w:hRule="atLeast"/>
        </w:trPr>
        <w:tc>
          <w:tcPr>
            <w:tcW w:w="241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所在地</w:t>
            </w:r>
          </w:p>
        </w:tc>
        <w:tc>
          <w:tcPr>
            <w:tcW w:w="6720" w:type="dxa"/>
            <w:shd w:val="clear" w:color="auto" w:fill="auto"/>
            <w:vAlign w:val="center"/>
          </w:tcPr>
          <w:p>
            <w:pPr>
              <w:pStyle w:val="0"/>
              <w:autoSpaceDE w:val="0"/>
              <w:autoSpaceDN w:val="0"/>
              <w:rPr>
                <w:rFonts w:hint="default" w:ascii="ＭＳ 明朝" w:hAnsi="ＭＳ 明朝"/>
              </w:rPr>
            </w:pPr>
            <w:r>
              <w:rPr>
                <w:rFonts w:hint="default" w:ascii="ＭＳ 明朝" w:hAnsi="ＭＳ 明朝"/>
              </w:rPr>
              <w:t>松崎町</w:t>
            </w:r>
          </w:p>
        </w:tc>
      </w:tr>
      <w:tr>
        <w:trPr>
          <w:trHeight w:val="2835" w:hRule="atLeast"/>
        </w:trPr>
        <w:tc>
          <w:tcPr>
            <w:tcW w:w="2415"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不許可の理由</w:t>
            </w:r>
          </w:p>
        </w:tc>
        <w:tc>
          <w:tcPr>
            <w:tcW w:w="6720" w:type="dxa"/>
            <w:shd w:val="clear" w:color="auto" w:fill="auto"/>
            <w:vAlign w:val="center"/>
          </w:tcPr>
          <w:p>
            <w:pPr>
              <w:pStyle w:val="0"/>
              <w:autoSpaceDE w:val="0"/>
              <w:autoSpaceDN w:val="0"/>
              <w:rPr>
                <w:rFonts w:hint="default" w:ascii="ＭＳ 明朝" w:hAnsi="ＭＳ 明朝"/>
              </w:rPr>
            </w:pPr>
          </w:p>
        </w:tc>
      </w:tr>
    </w:tbl>
    <w:p>
      <w:pPr>
        <w:pStyle w:val="0"/>
        <w:autoSpaceDE w:val="0"/>
        <w:autoSpaceDN w:val="0"/>
        <w:spacing w:line="300" w:lineRule="exact"/>
        <w:ind w:left="360" w:hanging="360" w:hangingChars="200"/>
        <w:rPr>
          <w:rFonts w:hint="eastAsia" w:ascii="ＭＳ 明朝" w:hAnsi="ＭＳ 明朝"/>
          <w:sz w:val="18"/>
        </w:rPr>
      </w:pPr>
      <w:r>
        <w:rPr>
          <w:rFonts w:hint="eastAsia" w:ascii="ＭＳ 明朝" w:hAnsi="ＭＳ 明朝"/>
          <w:sz w:val="18"/>
        </w:rPr>
        <w:t>（教示）</w:t>
      </w:r>
    </w:p>
    <w:p>
      <w:pPr>
        <w:pStyle w:val="0"/>
        <w:ind w:firstLine="180" w:firstLineChars="100"/>
        <w:rPr>
          <w:rFonts w:hint="eastAsia" w:ascii="ＭＳ 明朝" w:hAnsi="ＭＳ 明朝"/>
          <w:sz w:val="18"/>
        </w:rPr>
      </w:pPr>
      <w:bookmarkStart w:id="0" w:name="_GoBack"/>
      <w:bookmarkEnd w:id="0"/>
      <w:r>
        <w:rPr>
          <w:rFonts w:hint="eastAsia" w:ascii="ＭＳ 明朝" w:hAnsi="ＭＳ 明朝"/>
          <w:sz w:val="18"/>
        </w:rPr>
        <w:t>この決定に不服がある場合には、この決定があったことを知った日の翌日から起算して３月以内に、松崎町長に対して審査請求をすることができます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なお、この決定があったことを知った日の翌日から起算して３月以内であっても、この決定の日の翌日から起算して１年を経過したときは、審査請求をすることができなくなります。</w:t>
      </w:r>
      <w:r>
        <w:rPr>
          <w:rFonts w:hint="eastAsia" w:ascii="ＭＳ 明朝" w:hAnsi="ＭＳ 明朝"/>
          <w:sz w:val="18"/>
        </w:rPr>
        <w:t>)</w:t>
      </w:r>
      <w:r>
        <w:rPr>
          <w:rFonts w:hint="eastAsia" w:ascii="ＭＳ 明朝" w:hAnsi="ＭＳ 明朝"/>
          <w:sz w:val="18"/>
        </w:rPr>
        <w:t>。</w:t>
      </w:r>
    </w:p>
    <w:p>
      <w:pPr>
        <w:pStyle w:val="0"/>
        <w:rPr>
          <w:rFonts w:hint="default" w:ascii="ＭＳ 明朝" w:hAnsi="ＭＳ 明朝"/>
          <w:sz w:val="18"/>
        </w:rPr>
      </w:pPr>
      <w:r>
        <w:rPr>
          <w:rFonts w:hint="eastAsia" w:ascii="ＭＳ 明朝" w:hAnsi="ＭＳ 明朝"/>
          <w:sz w:val="18"/>
        </w:rPr>
        <w:t>　この決定については、この決定があったことを知った日の翌日から起算して６月以内に松崎町を被告</w:t>
      </w:r>
      <w:r>
        <w:rPr>
          <w:rFonts w:hint="eastAsia" w:ascii="ＭＳ 明朝" w:hAnsi="ＭＳ 明朝"/>
          <w:sz w:val="18"/>
        </w:rPr>
        <w:t>(</w:t>
      </w:r>
      <w:r>
        <w:rPr>
          <w:rFonts w:hint="eastAsia" w:ascii="ＭＳ 明朝" w:hAnsi="ＭＳ 明朝"/>
          <w:sz w:val="18"/>
        </w:rPr>
        <w:t>訴訟において松崎町を代表する者は松崎町長となります。</w:t>
      </w:r>
      <w:r>
        <w:rPr>
          <w:rFonts w:hint="eastAsia" w:ascii="ＭＳ 明朝" w:hAnsi="ＭＳ 明朝"/>
          <w:sz w:val="18"/>
        </w:rPr>
        <w:t>)</w:t>
      </w:r>
      <w:r>
        <w:rPr>
          <w:rFonts w:hint="eastAsia" w:ascii="ＭＳ 明朝" w:hAnsi="ＭＳ 明朝"/>
          <w:sz w:val="18"/>
        </w:rPr>
        <w:t>として、決定の取消しの訴えを提起することができます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なお、この決定があったことを知った日の翌日から起算して６月以内であっても、この決定の日の翌日から起算して１年を経過したときは、決定の取消しの訴えを提起することができなくなります。</w:t>
      </w:r>
      <w:r>
        <w:rPr>
          <w:rFonts w:hint="eastAsia" w:ascii="ＭＳ 明朝" w:hAnsi="ＭＳ 明朝"/>
          <w:sz w:val="18"/>
        </w:rPr>
        <w:t>)</w:t>
      </w:r>
      <w:r>
        <w:rPr>
          <w:rFonts w:hint="eastAsia" w:ascii="ＭＳ 明朝" w:hAnsi="ＭＳ 明朝"/>
          <w:sz w:val="18"/>
        </w:rPr>
        <w:t>。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2</Words>
  <Characters>597</Characters>
  <Application>JUST Note</Application>
  <Lines>37</Lines>
  <Paragraphs>20</Paragraphs>
  <CharactersWithSpaces>654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2021-05-18T01:44:05Z</dcterms:modified>
  <cp:revision>0</cp:revision>
</cp:coreProperties>
</file>